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4D5" w:rsidRPr="00FC34D5" w:rsidRDefault="00FC34D5" w:rsidP="00FC34D5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C34D5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FC34D5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FC34D5" w:rsidRPr="00FC34D5" w:rsidRDefault="00FC34D5" w:rsidP="00FC34D5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C34D5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FC34D5" w:rsidRPr="00FC34D5" w:rsidRDefault="00FC34D5" w:rsidP="00FC34D5">
      <w:pPr>
        <w:rPr>
          <w:rFonts w:ascii="Times New Roman" w:hAnsi="Times New Roman" w:cs="Times New Roman"/>
        </w:rPr>
      </w:pPr>
    </w:p>
    <w:p w:rsidR="00650FC9" w:rsidRPr="00FC34D5" w:rsidRDefault="00650FC9" w:rsidP="008E5A7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C34D5">
        <w:rPr>
          <w:rFonts w:ascii="Times New Roman" w:hAnsi="Times New Roman" w:cs="Times New Roman"/>
          <w:color w:val="auto"/>
          <w:sz w:val="24"/>
          <w:szCs w:val="24"/>
        </w:rPr>
        <w:t>ПАСПОРТ УСЛУГИ (ПРОЦЕССА</w:t>
      </w:r>
      <w:r w:rsidR="008E5A70" w:rsidRPr="00FC34D5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993707" w:rsidRPr="00FC34D5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FC34D5" w:rsidRPr="00FC34D5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993707" w:rsidRPr="00FC34D5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FC34D5" w:rsidRDefault="00E01206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FC34D5">
        <w:rPr>
          <w:rFonts w:ascii="Times New Roman" w:hAnsi="Times New Roman" w:cs="Times New Roman"/>
          <w:b/>
          <w:sz w:val="24"/>
          <w:szCs w:val="24"/>
        </w:rPr>
        <w:t>2</w:t>
      </w:r>
      <w:r w:rsidRPr="00FC34D5">
        <w:rPr>
          <w:rFonts w:ascii="Times New Roman" w:hAnsi="Times New Roman" w:cs="Times New Roman"/>
          <w:b/>
          <w:sz w:val="24"/>
          <w:szCs w:val="24"/>
        </w:rPr>
        <w:t>.1</w:t>
      </w:r>
      <w:r w:rsidR="00806C78" w:rsidRPr="00FC34D5">
        <w:rPr>
          <w:rFonts w:ascii="Times New Roman" w:hAnsi="Times New Roman" w:cs="Times New Roman"/>
          <w:b/>
          <w:sz w:val="24"/>
          <w:szCs w:val="24"/>
        </w:rPr>
        <w:t>.</w:t>
      </w:r>
      <w:r w:rsidR="0054414B" w:rsidRPr="00FC34D5">
        <w:rPr>
          <w:rFonts w:ascii="Times New Roman" w:hAnsi="Times New Roman" w:cs="Times New Roman"/>
          <w:b/>
          <w:sz w:val="24"/>
          <w:szCs w:val="24"/>
        </w:rPr>
        <w:t>4</w:t>
      </w:r>
      <w:r w:rsidR="00806C78" w:rsidRPr="00FC3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88" w:rsidRPr="00FC34D5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Pr="00FC34D5" w:rsidRDefault="005F2F3E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 xml:space="preserve">энергопринимающих устройств </w:t>
      </w:r>
      <w:r w:rsidR="0058149F" w:rsidRPr="00FC34D5">
        <w:rPr>
          <w:rFonts w:ascii="Times New Roman" w:hAnsi="Times New Roman" w:cs="Times New Roman"/>
          <w:b/>
          <w:sz w:val="24"/>
          <w:szCs w:val="24"/>
        </w:rPr>
        <w:t>юридических лиц и индивидуальных предпринимателей</w:t>
      </w:r>
      <w:r w:rsidR="005F7254" w:rsidRPr="00FC34D5">
        <w:rPr>
          <w:rFonts w:ascii="Times New Roman" w:hAnsi="Times New Roman" w:cs="Times New Roman"/>
          <w:b/>
          <w:sz w:val="24"/>
          <w:szCs w:val="24"/>
        </w:rPr>
        <w:br/>
      </w:r>
      <w:r w:rsidR="0058149F" w:rsidRPr="00FC3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4D5">
        <w:rPr>
          <w:rFonts w:ascii="Times New Roman" w:hAnsi="Times New Roman" w:cs="Times New Roman"/>
          <w:b/>
          <w:sz w:val="24"/>
          <w:szCs w:val="24"/>
        </w:rPr>
        <w:t xml:space="preserve">с максимальной мощностью </w:t>
      </w:r>
      <w:r w:rsidR="0037161F" w:rsidRPr="00FC34D5">
        <w:rPr>
          <w:rFonts w:ascii="Times New Roman" w:hAnsi="Times New Roman" w:cs="Times New Roman"/>
          <w:b/>
          <w:sz w:val="24"/>
          <w:szCs w:val="24"/>
        </w:rPr>
        <w:t>свыше 670 кВт</w:t>
      </w:r>
    </w:p>
    <w:p w:rsidR="00650FC9" w:rsidRPr="00FC34D5" w:rsidRDefault="00650FC9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EEC" w:rsidRPr="00FC34D5" w:rsidRDefault="008C2E25" w:rsidP="00650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FC34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FC34D5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6003D4" w:rsidRPr="00FC34D5">
        <w:rPr>
          <w:rFonts w:ascii="Times New Roman" w:hAnsi="Times New Roman" w:cs="Times New Roman"/>
          <w:sz w:val="24"/>
          <w:szCs w:val="24"/>
        </w:rPr>
        <w:t xml:space="preserve">(далее - заявитель) </w:t>
      </w:r>
      <w:r w:rsidR="00996EEC" w:rsidRPr="00FC34D5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</w:t>
      </w:r>
      <w:r w:rsidR="0058149F" w:rsidRPr="00FC34D5">
        <w:rPr>
          <w:rFonts w:ascii="Times New Roman" w:hAnsi="Times New Roman" w:cs="Times New Roman"/>
          <w:sz w:val="24"/>
          <w:szCs w:val="24"/>
        </w:rPr>
        <w:t xml:space="preserve">по одному источнику энергоснабжения </w:t>
      </w:r>
      <w:r w:rsidR="00996EEC" w:rsidRPr="00FC34D5">
        <w:rPr>
          <w:rFonts w:ascii="Times New Roman" w:hAnsi="Times New Roman" w:cs="Times New Roman"/>
          <w:sz w:val="24"/>
          <w:szCs w:val="24"/>
        </w:rPr>
        <w:t xml:space="preserve">энергопринимающих устройств, максимальная мощность которых составляет </w:t>
      </w:r>
      <w:r w:rsidR="0037161F" w:rsidRPr="00FC34D5">
        <w:rPr>
          <w:rFonts w:ascii="Times New Roman" w:hAnsi="Times New Roman" w:cs="Times New Roman"/>
          <w:sz w:val="24"/>
          <w:szCs w:val="24"/>
        </w:rPr>
        <w:t>свыше 670 кВт</w:t>
      </w:r>
      <w:r w:rsidR="00996EEC" w:rsidRPr="00FC3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978" w:rsidRPr="00FC34D5" w:rsidRDefault="008C2E25" w:rsidP="00650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FC3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978" w:rsidRPr="00FC34D5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энергопринимающих устройств с максимальной мощностью свыше 670 кВт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регулирования тарифов (</w:t>
      </w:r>
      <w:r w:rsidR="00FC34D5" w:rsidRPr="00FC34D5">
        <w:rPr>
          <w:rFonts w:ascii="Times New Roman" w:hAnsi="Times New Roman" w:cs="Times New Roman"/>
          <w:sz w:val="24"/>
          <w:szCs w:val="24"/>
        </w:rPr>
        <w:t>стандартизированные ставки</w:t>
      </w:r>
      <w:r w:rsidR="00CC4978" w:rsidRPr="00FC34D5">
        <w:rPr>
          <w:rFonts w:ascii="Times New Roman" w:hAnsi="Times New Roman" w:cs="Times New Roman"/>
          <w:sz w:val="24"/>
          <w:szCs w:val="24"/>
        </w:rPr>
        <w:t>).</w:t>
      </w:r>
    </w:p>
    <w:p w:rsidR="0058149F" w:rsidRPr="00FC34D5" w:rsidRDefault="008C2E25" w:rsidP="00650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FC34D5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FC34D5">
        <w:rPr>
          <w:rFonts w:ascii="Times New Roman" w:hAnsi="Times New Roman" w:cs="Times New Roman"/>
          <w:sz w:val="24"/>
          <w:szCs w:val="24"/>
        </w:rPr>
        <w:t>намерение заявителя присоедин</w:t>
      </w:r>
      <w:r w:rsidR="0058149F" w:rsidRPr="00FC34D5">
        <w:rPr>
          <w:rFonts w:ascii="Times New Roman" w:hAnsi="Times New Roman" w:cs="Times New Roman"/>
          <w:sz w:val="24"/>
          <w:szCs w:val="24"/>
        </w:rPr>
        <w:t xml:space="preserve">ить </w:t>
      </w:r>
      <w:r w:rsidR="00ED42E7" w:rsidRPr="00FC34D5">
        <w:rPr>
          <w:rFonts w:ascii="Times New Roman" w:hAnsi="Times New Roman" w:cs="Times New Roman"/>
          <w:sz w:val="24"/>
          <w:szCs w:val="24"/>
        </w:rPr>
        <w:t>впервые вводимы</w:t>
      </w:r>
      <w:r w:rsidR="0058149F" w:rsidRPr="00FC34D5">
        <w:rPr>
          <w:rFonts w:ascii="Times New Roman" w:hAnsi="Times New Roman" w:cs="Times New Roman"/>
          <w:sz w:val="24"/>
          <w:szCs w:val="24"/>
        </w:rPr>
        <w:t>е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в эксплуатацию, ранее присоединенны</w:t>
      </w:r>
      <w:r w:rsidR="0058149F" w:rsidRPr="00FC34D5">
        <w:rPr>
          <w:rFonts w:ascii="Times New Roman" w:hAnsi="Times New Roman" w:cs="Times New Roman"/>
          <w:sz w:val="24"/>
          <w:szCs w:val="24"/>
        </w:rPr>
        <w:t>е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энергопринимающи</w:t>
      </w:r>
      <w:r w:rsidR="0058149F" w:rsidRPr="00FC34D5">
        <w:rPr>
          <w:rFonts w:ascii="Times New Roman" w:hAnsi="Times New Roman" w:cs="Times New Roman"/>
          <w:sz w:val="24"/>
          <w:szCs w:val="24"/>
        </w:rPr>
        <w:t>е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8149F" w:rsidRPr="00FC34D5">
        <w:rPr>
          <w:rFonts w:ascii="Times New Roman" w:hAnsi="Times New Roman" w:cs="Times New Roman"/>
          <w:sz w:val="24"/>
          <w:szCs w:val="24"/>
        </w:rPr>
        <w:t>а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и объект</w:t>
      </w:r>
      <w:r w:rsidR="0058149F" w:rsidRPr="00FC34D5">
        <w:rPr>
          <w:rFonts w:ascii="Times New Roman" w:hAnsi="Times New Roman" w:cs="Times New Roman"/>
          <w:sz w:val="24"/>
          <w:szCs w:val="24"/>
        </w:rPr>
        <w:t>ы</w:t>
      </w:r>
      <w:r w:rsidR="00ED42E7" w:rsidRPr="00FC34D5">
        <w:rPr>
          <w:rFonts w:ascii="Times New Roman" w:hAnsi="Times New Roman" w:cs="Times New Roman"/>
          <w:sz w:val="24"/>
          <w:szCs w:val="24"/>
        </w:rPr>
        <w:t xml:space="preserve"> электроэнергетики,</w:t>
      </w:r>
      <w:r w:rsidR="0058149F" w:rsidRPr="00FC34D5">
        <w:rPr>
          <w:rFonts w:ascii="Times New Roman" w:hAnsi="Times New Roman" w:cs="Times New Roman"/>
          <w:sz w:val="24"/>
          <w:szCs w:val="24"/>
        </w:rPr>
        <w:t xml:space="preserve"> максимальная мощность</w:t>
      </w:r>
      <w:r w:rsidR="005C3FDF" w:rsidRPr="00FC34D5">
        <w:rPr>
          <w:rFonts w:ascii="Times New Roman" w:hAnsi="Times New Roman" w:cs="Times New Roman"/>
          <w:sz w:val="24"/>
          <w:szCs w:val="24"/>
        </w:rPr>
        <w:t xml:space="preserve">, </w:t>
      </w:r>
      <w:r w:rsidR="0058149F" w:rsidRPr="00FC34D5">
        <w:rPr>
          <w:rFonts w:ascii="Times New Roman" w:hAnsi="Times New Roman" w:cs="Times New Roman"/>
          <w:sz w:val="24"/>
          <w:szCs w:val="24"/>
        </w:rPr>
        <w:t>ко</w:t>
      </w:r>
      <w:r w:rsidR="007F74A7" w:rsidRPr="00FC34D5">
        <w:rPr>
          <w:rFonts w:ascii="Times New Roman" w:hAnsi="Times New Roman" w:cs="Times New Roman"/>
          <w:sz w:val="24"/>
          <w:szCs w:val="24"/>
        </w:rPr>
        <w:t xml:space="preserve">торых увеличивается, а также </w:t>
      </w:r>
      <w:r w:rsidR="0058149F" w:rsidRPr="00FC34D5">
        <w:rPr>
          <w:rFonts w:ascii="Times New Roman" w:hAnsi="Times New Roman" w:cs="Times New Roman"/>
          <w:sz w:val="24"/>
          <w:szCs w:val="24"/>
        </w:rPr>
        <w:t>случаи, при которых в отношении ранее присоединенных эне</w:t>
      </w:r>
      <w:r w:rsidR="005C3FDF" w:rsidRPr="00FC34D5">
        <w:rPr>
          <w:rFonts w:ascii="Times New Roman" w:hAnsi="Times New Roman" w:cs="Times New Roman"/>
          <w:sz w:val="24"/>
          <w:szCs w:val="24"/>
        </w:rPr>
        <w:t>ргопринимающих устройств изменяе</w:t>
      </w:r>
      <w:r w:rsidR="0058149F" w:rsidRPr="00FC34D5">
        <w:rPr>
          <w:rFonts w:ascii="Times New Roman" w:hAnsi="Times New Roman" w:cs="Times New Roman"/>
          <w:sz w:val="24"/>
          <w:szCs w:val="24"/>
        </w:rPr>
        <w:t>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энергопринимающих устройств.</w:t>
      </w:r>
    </w:p>
    <w:p w:rsidR="008C2E25" w:rsidRPr="00FC34D5" w:rsidRDefault="008C2E25" w:rsidP="00650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FC34D5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FC34D5">
        <w:rPr>
          <w:rFonts w:ascii="Times New Roman" w:hAnsi="Times New Roman" w:cs="Times New Roman"/>
          <w:sz w:val="24"/>
          <w:szCs w:val="24"/>
        </w:rPr>
        <w:t>технологическо</w:t>
      </w:r>
      <w:r w:rsidR="00CC4978" w:rsidRPr="00FC34D5">
        <w:rPr>
          <w:rFonts w:ascii="Times New Roman" w:hAnsi="Times New Roman" w:cs="Times New Roman"/>
          <w:sz w:val="24"/>
          <w:szCs w:val="24"/>
        </w:rPr>
        <w:t>е</w:t>
      </w:r>
      <w:r w:rsidR="00195358" w:rsidRPr="00FC34D5">
        <w:rPr>
          <w:rFonts w:ascii="Times New Roman" w:hAnsi="Times New Roman" w:cs="Times New Roman"/>
          <w:sz w:val="24"/>
          <w:szCs w:val="24"/>
        </w:rPr>
        <w:t xml:space="preserve"> присоединения энергопринимающих устройств Заявителя</w:t>
      </w:r>
      <w:r w:rsidRPr="00FC34D5">
        <w:rPr>
          <w:rFonts w:ascii="Times New Roman" w:hAnsi="Times New Roman" w:cs="Times New Roman"/>
          <w:sz w:val="24"/>
          <w:szCs w:val="24"/>
        </w:rPr>
        <w:t>.</w:t>
      </w:r>
    </w:p>
    <w:p w:rsidR="00FC33E3" w:rsidRPr="00FC34D5" w:rsidRDefault="000825BA" w:rsidP="00650F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="00195358" w:rsidRPr="00FC34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95358" w:rsidRPr="00FC34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95358" w:rsidRPr="00FC34D5">
        <w:rPr>
          <w:rFonts w:ascii="Times New Roman" w:hAnsi="Times New Roman" w:cs="Times New Roman"/>
          <w:sz w:val="24"/>
          <w:szCs w:val="24"/>
        </w:rPr>
        <w:t xml:space="preserve">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</w:t>
      </w:r>
      <w:r w:rsidR="009E1937" w:rsidRPr="00FC34D5">
        <w:rPr>
          <w:rFonts w:ascii="Times New Roman" w:hAnsi="Times New Roman" w:cs="Times New Roman"/>
          <w:sz w:val="24"/>
          <w:szCs w:val="24"/>
        </w:rPr>
        <w:t xml:space="preserve"> не более 300 метров в городах,</w:t>
      </w:r>
      <w:r w:rsidR="00195358" w:rsidRPr="00FC34D5">
        <w:rPr>
          <w:rFonts w:ascii="Times New Roman" w:hAnsi="Times New Roman" w:cs="Times New Roman"/>
          <w:sz w:val="24"/>
          <w:szCs w:val="24"/>
        </w:rPr>
        <w:t xml:space="preserve"> поселках городского типа и не более 500 метров в сельской местности</w:t>
      </w:r>
      <w:r w:rsidR="00FC33E3" w:rsidRPr="00FC34D5">
        <w:rPr>
          <w:rFonts w:ascii="Times New Roman" w:hAnsi="Times New Roman" w:cs="Times New Roman"/>
          <w:sz w:val="24"/>
          <w:szCs w:val="24"/>
        </w:rPr>
        <w:t>:</w:t>
      </w:r>
    </w:p>
    <w:p w:rsidR="00FC33E3" w:rsidRPr="00FC34D5" w:rsidRDefault="00FC33E3" w:rsidP="00650FC9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sz w:val="24"/>
          <w:szCs w:val="24"/>
        </w:rPr>
        <w:t xml:space="preserve">если </w:t>
      </w:r>
      <w:r w:rsidR="00195358" w:rsidRPr="00FC34D5">
        <w:rPr>
          <w:rFonts w:ascii="Times New Roman" w:hAnsi="Times New Roman" w:cs="Times New Roman"/>
          <w:sz w:val="24"/>
          <w:szCs w:val="24"/>
        </w:rPr>
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="00F30DAA" w:rsidRPr="00FC34D5">
        <w:rPr>
          <w:rFonts w:ascii="Times New Roman" w:hAnsi="Times New Roman" w:cs="Times New Roman"/>
          <w:b/>
          <w:sz w:val="24"/>
          <w:szCs w:val="24"/>
        </w:rPr>
        <w:t xml:space="preserve">1 год </w:t>
      </w:r>
      <w:r w:rsidR="004F68F4" w:rsidRPr="00FC34D5">
        <w:rPr>
          <w:rFonts w:ascii="Times New Roman" w:hAnsi="Times New Roman" w:cs="Times New Roman"/>
          <w:b/>
          <w:sz w:val="24"/>
          <w:szCs w:val="24"/>
        </w:rPr>
        <w:t>с даты заключения договора</w:t>
      </w:r>
      <w:r w:rsidR="00195358" w:rsidRPr="00FC34D5">
        <w:rPr>
          <w:rFonts w:ascii="Times New Roman" w:hAnsi="Times New Roman" w:cs="Times New Roman"/>
          <w:sz w:val="24"/>
          <w:szCs w:val="24"/>
        </w:rPr>
        <w:t>;</w:t>
      </w:r>
    </w:p>
    <w:p w:rsidR="0054414B" w:rsidRPr="00FC34D5" w:rsidRDefault="00CC4978" w:rsidP="00650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34D5">
        <w:rPr>
          <w:rFonts w:ascii="Times New Roman" w:hAnsi="Times New Roman" w:cs="Times New Roman"/>
          <w:sz w:val="24"/>
          <w:szCs w:val="24"/>
        </w:rPr>
        <w:lastRenderedPageBreak/>
        <w:t xml:space="preserve">При несоблюдении всех вышеуказанных условий </w:t>
      </w:r>
      <w:r w:rsidR="00195358" w:rsidRPr="00FC34D5">
        <w:rPr>
          <w:rFonts w:ascii="Times New Roman" w:hAnsi="Times New Roman" w:cs="Times New Roman"/>
          <w:sz w:val="24"/>
          <w:szCs w:val="24"/>
        </w:rPr>
        <w:t xml:space="preserve">– </w:t>
      </w:r>
      <w:r w:rsidR="00F30DAA" w:rsidRPr="00FC34D5">
        <w:rPr>
          <w:rFonts w:ascii="Times New Roman" w:hAnsi="Times New Roman" w:cs="Times New Roman"/>
          <w:b/>
          <w:sz w:val="24"/>
          <w:szCs w:val="24"/>
        </w:rPr>
        <w:t>2</w:t>
      </w:r>
      <w:r w:rsidR="00195358" w:rsidRPr="00FC3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69B" w:rsidRPr="00FC34D5">
        <w:rPr>
          <w:rFonts w:ascii="Times New Roman" w:hAnsi="Times New Roman" w:cs="Times New Roman"/>
          <w:b/>
          <w:sz w:val="24"/>
          <w:szCs w:val="24"/>
        </w:rPr>
        <w:t>год</w:t>
      </w:r>
      <w:r w:rsidR="004F68F4" w:rsidRPr="00FC34D5">
        <w:rPr>
          <w:rFonts w:ascii="Times New Roman" w:hAnsi="Times New Roman" w:cs="Times New Roman"/>
          <w:b/>
          <w:sz w:val="24"/>
          <w:szCs w:val="24"/>
        </w:rPr>
        <w:t xml:space="preserve"> с даты заключения договора</w:t>
      </w:r>
      <w:r w:rsidR="00F30DAA" w:rsidRPr="00FC34D5">
        <w:rPr>
          <w:rFonts w:ascii="Times New Roman" w:hAnsi="Times New Roman" w:cs="Times New Roman"/>
          <w:sz w:val="24"/>
          <w:szCs w:val="24"/>
        </w:rPr>
        <w:t xml:space="preserve">, </w:t>
      </w:r>
      <w:r w:rsidR="0054414B" w:rsidRPr="00FC34D5">
        <w:rPr>
          <w:rFonts w:ascii="Times New Roman" w:hAnsi="Times New Roman" w:cs="Times New Roman"/>
          <w:sz w:val="24"/>
          <w:szCs w:val="24"/>
        </w:rPr>
        <w:t>если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195358" w:rsidRPr="00FC34D5" w:rsidRDefault="00195358" w:rsidP="00650FC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53F9" w:rsidRPr="00FC34D5" w:rsidRDefault="008C2E25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34D5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4"/>
        <w:tblW w:w="4936" w:type="pct"/>
        <w:tblLayout w:type="fixed"/>
        <w:tblLook w:val="00A0" w:firstRow="1" w:lastRow="0" w:firstColumn="1" w:lastColumn="0" w:noHBand="0" w:noVBand="0"/>
      </w:tblPr>
      <w:tblGrid>
        <w:gridCol w:w="470"/>
        <w:gridCol w:w="2182"/>
        <w:gridCol w:w="2092"/>
        <w:gridCol w:w="2647"/>
        <w:gridCol w:w="2227"/>
        <w:gridCol w:w="1736"/>
        <w:gridCol w:w="2740"/>
      </w:tblGrid>
      <w:tr w:rsidR="003C6FB6" w:rsidRPr="00FC34D5" w:rsidTr="003C6FB6">
        <w:tc>
          <w:tcPr>
            <w:tcW w:w="167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4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42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39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0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72" w:type="pct"/>
          </w:tcPr>
          <w:p w:rsidR="00CA183B" w:rsidRPr="00FC34D5" w:rsidRDefault="00CA183B" w:rsidP="005E49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3C6FB6" w:rsidRPr="00FC34D5" w:rsidTr="003C6FB6">
        <w:tc>
          <w:tcPr>
            <w:tcW w:w="167" w:type="pct"/>
            <w:vMerge w:val="restart"/>
          </w:tcPr>
          <w:p w:rsidR="00FA6398" w:rsidRPr="00FC34D5" w:rsidRDefault="00FA639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2" w:type="pc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="006E41A4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 подает заявку на технологическое присоединение;</w:t>
            </w:r>
          </w:p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FA6398" w:rsidRPr="00FC34D5" w:rsidRDefault="00FA6398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FA6398" w:rsidRPr="00FC34D5" w:rsidRDefault="00FA6398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616" w:type="pct"/>
          </w:tcPr>
          <w:p w:rsidR="00FA6398" w:rsidRPr="00FC34D5" w:rsidRDefault="00FA6398" w:rsidP="003C6FB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72" w:type="pct"/>
          </w:tcPr>
          <w:p w:rsidR="00FA6398" w:rsidRPr="00FC34D5" w:rsidRDefault="00FA6398" w:rsidP="003C6FB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 8</w:t>
            </w:r>
            <w:proofErr w:type="gramEnd"/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9, 10,12, 14 Правил технологического присоединения энергопринимающих устройств потребителей электрической энергии</w:t>
            </w:r>
            <w:r w:rsidRPr="00FC34D5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FA6398" w:rsidRPr="00FC34D5" w:rsidRDefault="00FA639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939" w:type="pc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E41A4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FA6398" w:rsidRPr="00FC34D5" w:rsidRDefault="0007146B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6" w:type="pct"/>
          </w:tcPr>
          <w:p w:rsidR="00FA6398" w:rsidRPr="00FC34D5" w:rsidRDefault="00FA6398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после получения заявки</w:t>
            </w:r>
          </w:p>
        </w:tc>
        <w:tc>
          <w:tcPr>
            <w:tcW w:w="972" w:type="pct"/>
          </w:tcPr>
          <w:p w:rsidR="00FA6398" w:rsidRPr="00FC34D5" w:rsidRDefault="00FA639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</w:tcPr>
          <w:p w:rsidR="006E41A4" w:rsidRPr="00FC34D5" w:rsidRDefault="006E41A4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</w:tcPr>
          <w:p w:rsidR="006E41A4" w:rsidRPr="00FC34D5" w:rsidRDefault="006E41A4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</w:tcPr>
          <w:p w:rsidR="006E41A4" w:rsidRPr="00FC34D5" w:rsidRDefault="006E41A4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6E41A4" w:rsidRPr="00FC34D5" w:rsidRDefault="006E41A4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1.3. 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сетевой организацией копии заявки на рассмотрение системному оператору</w:t>
            </w:r>
          </w:p>
        </w:tc>
        <w:tc>
          <w:tcPr>
            <w:tcW w:w="790" w:type="pct"/>
          </w:tcPr>
          <w:p w:rsidR="006E41A4" w:rsidRPr="00FC34D5" w:rsidRDefault="006E41A4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6E41A4" w:rsidRPr="00FC34D5" w:rsidRDefault="006E41A4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заявки</w:t>
            </w:r>
          </w:p>
        </w:tc>
        <w:tc>
          <w:tcPr>
            <w:tcW w:w="972" w:type="pct"/>
          </w:tcPr>
          <w:p w:rsidR="006E41A4" w:rsidRPr="00FC34D5" w:rsidRDefault="006E41A4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 w:val="restart"/>
          </w:tcPr>
          <w:p w:rsidR="00603CF2" w:rsidRPr="00FC34D5" w:rsidRDefault="00603CF2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939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2.1. 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</w:t>
            </w:r>
            <w:r w:rsidR="0007146B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790" w:type="pct"/>
          </w:tcPr>
          <w:p w:rsidR="00603CF2" w:rsidRPr="00FC34D5" w:rsidRDefault="0007146B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в письменной форме направляется 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подтвердить факт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603CF2" w:rsidRPr="00FC34D5" w:rsidRDefault="0007146B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7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603CF2" w:rsidRPr="00FC34D5" w:rsidRDefault="00603CF2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07146B"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07146B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0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603CF2" w:rsidRPr="00FC34D5" w:rsidRDefault="0007146B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603CF2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дней со дня  получения заявки;</w:t>
            </w:r>
          </w:p>
          <w:p w:rsidR="00603CF2" w:rsidRPr="00FC34D5" w:rsidRDefault="0007146B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</w:t>
            </w:r>
            <w:r w:rsidR="00603CF2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  отсутствия сведений  (документов) 30 дней с даты  получения недостающих сведений</w:t>
            </w:r>
          </w:p>
          <w:p w:rsidR="0007146B" w:rsidRPr="00FC34D5" w:rsidRDefault="0007146B" w:rsidP="003C6FB6">
            <w:pPr>
              <w:autoSpaceDE w:val="0"/>
              <w:autoSpaceDN w:val="0"/>
              <w:adjustRightInd w:val="0"/>
              <w:ind w:firstLine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не позднее 3 рабочих дней со дня  согласования с системным оператором тех</w:t>
            </w:r>
            <w:r w:rsidR="009E1937"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условий</w:t>
            </w:r>
          </w:p>
        </w:tc>
        <w:tc>
          <w:tcPr>
            <w:tcW w:w="97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603CF2" w:rsidRPr="00FC34D5" w:rsidRDefault="00603CF2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603CF2" w:rsidRPr="00FC34D5" w:rsidRDefault="00603CF2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 со  дня получения заявителем проекта договора.</w:t>
            </w:r>
          </w:p>
          <w:p w:rsidR="00603CF2" w:rsidRPr="00FC34D5" w:rsidRDefault="00603CF2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</w:t>
            </w:r>
            <w:r w:rsidR="009E1937"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72" w:type="pct"/>
          </w:tcPr>
          <w:p w:rsidR="00603CF2" w:rsidRPr="00FC34D5" w:rsidRDefault="00603CF2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2.3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(выдача при очном посещении офиса обслуживания)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Письменная форма проекта договора, подписанного со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стороны сетевой организации, направляется 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рабочих дней с даты получения от заявителя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 15 Правил технологического присоединения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CC4978" w:rsidRPr="00FC34D5" w:rsidRDefault="00CC4978" w:rsidP="003C6FB6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 w:val="restart"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4" w:type="pct"/>
            <w:vMerge w:val="restar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2" w:type="pct"/>
            <w:vMerge w:val="restar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 w:val="restar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заявителем сетевой организации о выполнении технических условий с пакетом необходимых документов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3.5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.Направление с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приложенных к нему документов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Копии уведомления заявителя с необходимым пакетом документов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течение 2 дней со дня получения от заявителя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 w:val="restart"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4" w:type="pct"/>
            <w:vMerge w:val="restar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CC4978" w:rsidRPr="00FC34D5" w:rsidRDefault="000B6B43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C4978" w:rsidRPr="00FC34D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CC4978"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течение 10 дней со дня получения от заявителя документов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86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 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Согласованный Акт осмотра (обследования) электроустановки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осмотра (обследования) электроустановок заявителя 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Письменное уведомление  способом, позволяющим установить дату отправки и получения уведомления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CC4978" w:rsidRPr="00FC34D5" w:rsidRDefault="000B6B43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C4978" w:rsidRPr="00FC34D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CC4978"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</w:tcPr>
          <w:p w:rsidR="00CC4978" w:rsidRPr="00FC34D5" w:rsidRDefault="000B6B43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C4978" w:rsidRPr="00FC34D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CC4978"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Pr="00FC34D5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4.6.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направляется 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3-дневный срок после проведения осмотра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4.7.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возвращает в сетевую организацию один экземпляр подписанного со своей стороны акта о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выполнении технических условий</w:t>
            </w:r>
          </w:p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Подписанный Акт о выполнении технических условий в письменной форме направляется 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5 дней со дня получения подписанного сетевой организацией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акта о выполнении технических условий</w:t>
            </w:r>
          </w:p>
        </w:tc>
        <w:tc>
          <w:tcPr>
            <w:tcW w:w="972" w:type="pct"/>
          </w:tcPr>
          <w:p w:rsidR="00CC4978" w:rsidRPr="00FC34D5" w:rsidRDefault="00CC4978" w:rsidP="003C6FB6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Пункты 88 Правил технологического присоединения энергопринимающих 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 w:val="restart"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74" w:type="pct"/>
            <w:vMerge w:val="restar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Присоединение объектов заявителя к электрическим сетям</w:t>
            </w:r>
          </w:p>
        </w:tc>
        <w:tc>
          <w:tcPr>
            <w:tcW w:w="742" w:type="pct"/>
            <w:vMerge w:val="restar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0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CC4978" w:rsidRPr="00FC34D5" w:rsidRDefault="00CB26FA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270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vMerge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Акта разграничения границ балансовой принадлежности сторон;</w:t>
            </w:r>
          </w:p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790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Подписанные со стороны сетевой организации Акты  в письменной форме направляются </w:t>
            </w:r>
            <w:r w:rsidRPr="00FC3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CC4978" w:rsidRPr="00FC34D5" w:rsidRDefault="00CB26FA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C6FB6" w:rsidRPr="00FC34D5" w:rsidTr="003C6FB6">
        <w:trPr>
          <w:trHeight w:val="695"/>
        </w:trPr>
        <w:tc>
          <w:tcPr>
            <w:tcW w:w="167" w:type="pct"/>
            <w:vMerge/>
          </w:tcPr>
          <w:p w:rsidR="00CC4978" w:rsidRPr="00FC34D5" w:rsidRDefault="00CC4978" w:rsidP="005E49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vMerge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5.3.</w:t>
            </w: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с  заявителем актов  в </w:t>
            </w:r>
            <w:proofErr w:type="spellStart"/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FC34D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</w:t>
            </w:r>
          </w:p>
        </w:tc>
        <w:tc>
          <w:tcPr>
            <w:tcW w:w="790" w:type="pct"/>
          </w:tcPr>
          <w:p w:rsidR="00CC4978" w:rsidRPr="00FC34D5" w:rsidRDefault="00CC4978" w:rsidP="005E49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16" w:type="pct"/>
          </w:tcPr>
          <w:p w:rsidR="00CC4978" w:rsidRPr="00FC34D5" w:rsidRDefault="00CC4978" w:rsidP="005E4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72" w:type="pct"/>
          </w:tcPr>
          <w:p w:rsidR="00CC4978" w:rsidRPr="00FC34D5" w:rsidRDefault="00CC4978" w:rsidP="005E4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34D5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B489C" w:rsidRDefault="00CB489C" w:rsidP="00CB489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89C" w:rsidRDefault="00CB489C" w:rsidP="00CB489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CB489C" w:rsidRDefault="00CB489C" w:rsidP="00CB489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B489C" w:rsidRDefault="00CB489C" w:rsidP="00CB489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FC34D5" w:rsidRDefault="000653F9" w:rsidP="00CB489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FC34D5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B43" w:rsidRDefault="000B6B43" w:rsidP="00DC7CA8">
      <w:pPr>
        <w:spacing w:after="0" w:line="240" w:lineRule="auto"/>
      </w:pPr>
      <w:r>
        <w:separator/>
      </w:r>
    </w:p>
  </w:endnote>
  <w:endnote w:type="continuationSeparator" w:id="0">
    <w:p w:rsidR="000B6B43" w:rsidRDefault="000B6B43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B43" w:rsidRDefault="000B6B43" w:rsidP="00DC7CA8">
      <w:pPr>
        <w:spacing w:after="0" w:line="240" w:lineRule="auto"/>
      </w:pPr>
      <w:r>
        <w:separator/>
      </w:r>
    </w:p>
  </w:footnote>
  <w:footnote w:type="continuationSeparator" w:id="0">
    <w:p w:rsidR="000B6B43" w:rsidRDefault="000B6B43" w:rsidP="00DC7CA8">
      <w:pPr>
        <w:spacing w:after="0" w:line="240" w:lineRule="auto"/>
      </w:pPr>
      <w:r>
        <w:continuationSeparator/>
      </w:r>
    </w:p>
  </w:footnote>
  <w:footnote w:id="1">
    <w:p w:rsidR="00FA6398" w:rsidRPr="00FC34D5" w:rsidRDefault="00FA6398" w:rsidP="00276213">
      <w:pPr>
        <w:pStyle w:val="ac"/>
        <w:jc w:val="both"/>
        <w:rPr>
          <w:sz w:val="18"/>
          <w:szCs w:val="18"/>
        </w:rPr>
      </w:pPr>
      <w:r w:rsidRPr="00FC34D5">
        <w:rPr>
          <w:rStyle w:val="ae"/>
          <w:sz w:val="18"/>
          <w:szCs w:val="18"/>
        </w:rPr>
        <w:footnoteRef/>
      </w:r>
      <w:r w:rsidRPr="00FC34D5">
        <w:rPr>
          <w:sz w:val="18"/>
          <w:szCs w:val="18"/>
        </w:rPr>
        <w:t xml:space="preserve"> </w:t>
      </w:r>
      <w:r w:rsidRPr="00FC34D5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CC4978" w:rsidRDefault="00CC4978" w:rsidP="00BA00C5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e"/>
        </w:rPr>
        <w:footnoteRef/>
      </w:r>
      <w:r>
        <w:t xml:space="preserve"> </w:t>
      </w:r>
      <w:r w:rsidRPr="00C87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8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функционирования розничных рынков электрической энергии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утвержденные </w:t>
      </w:r>
      <w:r>
        <w:rPr>
          <w:rFonts w:ascii="Times New Roman" w:hAnsi="Times New Roman" w:cs="Times New Roman"/>
          <w:sz w:val="24"/>
          <w:szCs w:val="24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22F24"/>
    <w:rsid w:val="0002340B"/>
    <w:rsid w:val="0002598C"/>
    <w:rsid w:val="00026177"/>
    <w:rsid w:val="00040C4F"/>
    <w:rsid w:val="000653F9"/>
    <w:rsid w:val="0007146B"/>
    <w:rsid w:val="000825BA"/>
    <w:rsid w:val="000B6B43"/>
    <w:rsid w:val="000C2731"/>
    <w:rsid w:val="000C3C93"/>
    <w:rsid w:val="000D0D64"/>
    <w:rsid w:val="000E710C"/>
    <w:rsid w:val="00142EA5"/>
    <w:rsid w:val="001452AF"/>
    <w:rsid w:val="001533DF"/>
    <w:rsid w:val="00162045"/>
    <w:rsid w:val="00164660"/>
    <w:rsid w:val="00166D9F"/>
    <w:rsid w:val="00182892"/>
    <w:rsid w:val="00187BF5"/>
    <w:rsid w:val="0019014D"/>
    <w:rsid w:val="00195358"/>
    <w:rsid w:val="001B3CD5"/>
    <w:rsid w:val="001D45A0"/>
    <w:rsid w:val="00206CD3"/>
    <w:rsid w:val="0022778E"/>
    <w:rsid w:val="00231805"/>
    <w:rsid w:val="00233155"/>
    <w:rsid w:val="00242530"/>
    <w:rsid w:val="00251BEC"/>
    <w:rsid w:val="00276213"/>
    <w:rsid w:val="0029622E"/>
    <w:rsid w:val="002963F2"/>
    <w:rsid w:val="002978AF"/>
    <w:rsid w:val="002A16A3"/>
    <w:rsid w:val="002A3BA1"/>
    <w:rsid w:val="002A4954"/>
    <w:rsid w:val="002A5552"/>
    <w:rsid w:val="002C24EC"/>
    <w:rsid w:val="002C3F37"/>
    <w:rsid w:val="002C56E2"/>
    <w:rsid w:val="0032200A"/>
    <w:rsid w:val="0032230E"/>
    <w:rsid w:val="00326913"/>
    <w:rsid w:val="00341295"/>
    <w:rsid w:val="00347A15"/>
    <w:rsid w:val="00366A29"/>
    <w:rsid w:val="0037161F"/>
    <w:rsid w:val="003A6292"/>
    <w:rsid w:val="003B555E"/>
    <w:rsid w:val="003B6F93"/>
    <w:rsid w:val="003C556E"/>
    <w:rsid w:val="003C6FB6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42712"/>
    <w:rsid w:val="00443775"/>
    <w:rsid w:val="004A4D60"/>
    <w:rsid w:val="004B0BFE"/>
    <w:rsid w:val="004B75E4"/>
    <w:rsid w:val="004D2FC8"/>
    <w:rsid w:val="004F68F4"/>
    <w:rsid w:val="0051045A"/>
    <w:rsid w:val="0051352D"/>
    <w:rsid w:val="00524428"/>
    <w:rsid w:val="00534E9A"/>
    <w:rsid w:val="0054414B"/>
    <w:rsid w:val="00557796"/>
    <w:rsid w:val="0058149F"/>
    <w:rsid w:val="00584BD8"/>
    <w:rsid w:val="005B627E"/>
    <w:rsid w:val="005C22A7"/>
    <w:rsid w:val="005C3FDF"/>
    <w:rsid w:val="005E4974"/>
    <w:rsid w:val="005E5AAE"/>
    <w:rsid w:val="005E615E"/>
    <w:rsid w:val="005F2F3E"/>
    <w:rsid w:val="005F7254"/>
    <w:rsid w:val="006003D4"/>
    <w:rsid w:val="00603CF2"/>
    <w:rsid w:val="006047AA"/>
    <w:rsid w:val="00614532"/>
    <w:rsid w:val="00620C3D"/>
    <w:rsid w:val="00640439"/>
    <w:rsid w:val="00650FC9"/>
    <w:rsid w:val="0065173C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D2EDE"/>
    <w:rsid w:val="006E11C6"/>
    <w:rsid w:val="006E41A4"/>
    <w:rsid w:val="006F2514"/>
    <w:rsid w:val="006F446F"/>
    <w:rsid w:val="0070128B"/>
    <w:rsid w:val="00762B2B"/>
    <w:rsid w:val="00776C32"/>
    <w:rsid w:val="00776F8A"/>
    <w:rsid w:val="007804E0"/>
    <w:rsid w:val="0078335E"/>
    <w:rsid w:val="007877ED"/>
    <w:rsid w:val="007919F1"/>
    <w:rsid w:val="007A2C8F"/>
    <w:rsid w:val="007C5088"/>
    <w:rsid w:val="007E41FA"/>
    <w:rsid w:val="007F74A7"/>
    <w:rsid w:val="00806C78"/>
    <w:rsid w:val="008117CC"/>
    <w:rsid w:val="00823FF3"/>
    <w:rsid w:val="00824E68"/>
    <w:rsid w:val="008254DA"/>
    <w:rsid w:val="0082713E"/>
    <w:rsid w:val="00863174"/>
    <w:rsid w:val="0086326F"/>
    <w:rsid w:val="00884C99"/>
    <w:rsid w:val="008C2E25"/>
    <w:rsid w:val="008C64E4"/>
    <w:rsid w:val="008D2E8D"/>
    <w:rsid w:val="008E16CB"/>
    <w:rsid w:val="008E5A70"/>
    <w:rsid w:val="009001F4"/>
    <w:rsid w:val="00904E58"/>
    <w:rsid w:val="00956CE7"/>
    <w:rsid w:val="00993707"/>
    <w:rsid w:val="00996EEC"/>
    <w:rsid w:val="009D7322"/>
    <w:rsid w:val="009E1937"/>
    <w:rsid w:val="009F1439"/>
    <w:rsid w:val="00A22C5F"/>
    <w:rsid w:val="00A44E14"/>
    <w:rsid w:val="00A45444"/>
    <w:rsid w:val="00A474DD"/>
    <w:rsid w:val="00A61E75"/>
    <w:rsid w:val="00A705D8"/>
    <w:rsid w:val="00A947AF"/>
    <w:rsid w:val="00AE08E3"/>
    <w:rsid w:val="00AF67C0"/>
    <w:rsid w:val="00B04094"/>
    <w:rsid w:val="00B062AF"/>
    <w:rsid w:val="00B118E9"/>
    <w:rsid w:val="00B40D8E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D1560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7174A"/>
    <w:rsid w:val="00C74D96"/>
    <w:rsid w:val="00C75E65"/>
    <w:rsid w:val="00CA183B"/>
    <w:rsid w:val="00CA1E91"/>
    <w:rsid w:val="00CB26FA"/>
    <w:rsid w:val="00CB489C"/>
    <w:rsid w:val="00CC1A0A"/>
    <w:rsid w:val="00CC211B"/>
    <w:rsid w:val="00CC4978"/>
    <w:rsid w:val="00CE60B3"/>
    <w:rsid w:val="00CF1785"/>
    <w:rsid w:val="00D1019A"/>
    <w:rsid w:val="00D243E8"/>
    <w:rsid w:val="00D34055"/>
    <w:rsid w:val="00D37687"/>
    <w:rsid w:val="00D47D80"/>
    <w:rsid w:val="00D50CC7"/>
    <w:rsid w:val="00D679FC"/>
    <w:rsid w:val="00D73C9D"/>
    <w:rsid w:val="00DB69AA"/>
    <w:rsid w:val="00DC03DD"/>
    <w:rsid w:val="00DC7CA8"/>
    <w:rsid w:val="00E01206"/>
    <w:rsid w:val="00E20DAF"/>
    <w:rsid w:val="00E26A40"/>
    <w:rsid w:val="00E36F56"/>
    <w:rsid w:val="00E46A2F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F30DAA"/>
    <w:rsid w:val="00F4184B"/>
    <w:rsid w:val="00F4469B"/>
    <w:rsid w:val="00F87578"/>
    <w:rsid w:val="00FA6398"/>
    <w:rsid w:val="00FC139B"/>
    <w:rsid w:val="00FC1E5A"/>
    <w:rsid w:val="00FC33E3"/>
    <w:rsid w:val="00FC34D5"/>
    <w:rsid w:val="00FE0A69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D9AF9-7588-45A1-85D7-D13A0C14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3C6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0C0CF-8497-470F-8158-4A564500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2015-05-28T10:00:00Z</cp:lastPrinted>
  <dcterms:created xsi:type="dcterms:W3CDTF">2018-05-04T10:55:00Z</dcterms:created>
  <dcterms:modified xsi:type="dcterms:W3CDTF">2019-08-29T14:49:00Z</dcterms:modified>
</cp:coreProperties>
</file>